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7359A8CF"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108-bis</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70084" w:rsidRPr="00370084">
        <w:rPr>
          <w:rFonts w:eastAsiaTheme="minorEastAsia" w:cs="Arial"/>
          <w:bCs/>
          <w:noProof w:val="0"/>
          <w:color w:val="000000" w:themeColor="text1"/>
          <w:sz w:val="22"/>
          <w:szCs w:val="22"/>
          <w:lang w:val="en-GB" w:eastAsia="zh-CN"/>
        </w:rPr>
        <w:t>2316237</w:t>
      </w:r>
    </w:p>
    <w:p w14:paraId="6A25EC1C" w14:textId="48E5222E" w:rsidR="00E07AF8" w:rsidRPr="006B21ED" w:rsidRDefault="000466F4"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3583987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0466F4">
        <w:rPr>
          <w:rFonts w:eastAsiaTheme="minorEastAsia" w:cs="Arial"/>
          <w:bCs/>
          <w:noProof w:val="0"/>
          <w:sz w:val="22"/>
          <w:szCs w:val="22"/>
          <w:lang w:eastAsia="zh-CN"/>
        </w:rPr>
        <w:t>5</w:t>
      </w:r>
      <w:r w:rsidR="00A20182" w:rsidRPr="00A20182">
        <w:rPr>
          <w:rFonts w:eastAsiaTheme="minorEastAsia" w:cs="Arial"/>
          <w:bCs/>
          <w:noProof w:val="0"/>
          <w:sz w:val="22"/>
          <w:szCs w:val="22"/>
          <w:lang w:eastAsia="zh-CN"/>
        </w:rPr>
        <w:t>.1</w:t>
      </w:r>
      <w:r w:rsidR="00CD17FD">
        <w:rPr>
          <w:rFonts w:eastAsiaTheme="minorEastAsia" w:cs="Arial"/>
          <w:bCs/>
          <w:noProof w:val="0"/>
          <w:sz w:val="22"/>
          <w:szCs w:val="22"/>
          <w:lang w:eastAsia="zh-CN"/>
        </w:rPr>
        <w:t>4</w:t>
      </w:r>
      <w:r w:rsidR="00A20182" w:rsidRPr="00A20182">
        <w:rPr>
          <w:rFonts w:eastAsiaTheme="minorEastAsia" w:cs="Arial"/>
          <w:bCs/>
          <w:noProof w:val="0"/>
          <w:sz w:val="22"/>
          <w:szCs w:val="22"/>
          <w:lang w:eastAsia="zh-CN"/>
        </w:rPr>
        <w:t>.</w:t>
      </w:r>
      <w:r w:rsidR="000466F4">
        <w:rPr>
          <w:rFonts w:eastAsiaTheme="minorEastAsia" w:cs="Arial"/>
          <w:bCs/>
          <w:noProof w:val="0"/>
          <w:sz w:val="22"/>
          <w:szCs w:val="22"/>
          <w:lang w:eastAsia="zh-CN"/>
        </w:rPr>
        <w:t>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20E0F3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0466F4">
        <w:rPr>
          <w:rFonts w:eastAsiaTheme="minorEastAsia" w:cs="Arial"/>
          <w:bCs/>
          <w:noProof w:val="0"/>
          <w:sz w:val="22"/>
          <w:szCs w:val="22"/>
          <w:lang w:eastAsia="zh-CN"/>
        </w:rPr>
        <w:t>performance 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213EE786" w:rsidR="00463DA3" w:rsidRDefault="00060EA2" w:rsidP="00BC73EE">
      <w:pPr>
        <w:jc w:val="both"/>
      </w:pPr>
      <w:r>
        <w:t xml:space="preserve">The agreed work plan for FR1 less than 5 MHz indicates that the performance parts </w:t>
      </w:r>
      <w:r w:rsidR="008C620C">
        <w:t>start</w:t>
      </w:r>
      <w:r>
        <w:t xml:space="preserve"> from the October 2023 meeting</w:t>
      </w:r>
      <w:r w:rsidR="00275002">
        <w:t xml:space="preserve"> </w:t>
      </w:r>
      <w:r w:rsidR="00AE13B5">
        <w:fldChar w:fldCharType="begin"/>
      </w:r>
      <w:r w:rsidR="00AE13B5">
        <w:instrText xml:space="preserve"> REF _Ref115358872 \r \h </w:instrText>
      </w:r>
      <w:r w:rsidR="00AE13B5">
        <w:fldChar w:fldCharType="separate"/>
      </w:r>
      <w:r w:rsidR="00867051">
        <w:t>[1]</w:t>
      </w:r>
      <w:r w:rsidR="00AE13B5">
        <w:fldChar w:fldCharType="end"/>
      </w:r>
      <w:r>
        <w:t xml:space="preserve">. </w:t>
      </w:r>
      <w:r w:rsidR="008C620C">
        <w:t>Hence, this contribution paper provides the views on which test shall be specified</w:t>
      </w:r>
      <w:r>
        <w:t>.</w:t>
      </w:r>
    </w:p>
    <w:p w14:paraId="429D32E9" w14:textId="7DAF8A35" w:rsidR="00311141" w:rsidRDefault="00311141" w:rsidP="00311141">
      <w:pPr>
        <w:pStyle w:val="Heading1"/>
        <w:numPr>
          <w:ilvl w:val="0"/>
          <w:numId w:val="1"/>
        </w:numPr>
        <w:jc w:val="both"/>
        <w:rPr>
          <w:rFonts w:ascii="Arial" w:hAnsi="Arial" w:cs="Arial"/>
        </w:rPr>
      </w:pPr>
      <w:r>
        <w:rPr>
          <w:rFonts w:ascii="Arial" w:hAnsi="Arial" w:cs="Arial"/>
        </w:rPr>
        <w:t>Discussion</w:t>
      </w:r>
    </w:p>
    <w:p w14:paraId="06D1AC0C" w14:textId="42D70551" w:rsidR="00FF5202" w:rsidRDefault="00275002" w:rsidP="00FF5202">
      <w:pPr>
        <w:jc w:val="both"/>
      </w:pPr>
      <w:r>
        <w:t xml:space="preserve">On one hand, for the UE operating with 5 MHz bandwidth, the defined requirements are the same as that for the existing NR UE. Thus, there is no need to define additional test cases to cover the UE operating with 5 </w:t>
      </w:r>
      <w:proofErr w:type="spellStart"/>
      <w:r>
        <w:t>MHz.</w:t>
      </w:r>
      <w:proofErr w:type="spellEnd"/>
      <w:r>
        <w:t xml:space="preserve"> On the other hand, from the core requirements changes for the 3 MHz UE, the main changes are captured in the radio link monitoring</w:t>
      </w:r>
      <w:r w:rsidR="00875F95">
        <w:t xml:space="preserve"> (RLM)</w:t>
      </w:r>
      <w:r>
        <w:t>, link recovery procedure</w:t>
      </w:r>
      <w:r w:rsidR="006E1F63">
        <w:t xml:space="preserve"> including beam failure detection (BFD)</w:t>
      </w:r>
      <w:r>
        <w:t>, and SSB index reading</w:t>
      </w:r>
      <w:r w:rsidR="00EF56F2">
        <w:t>.</w:t>
      </w:r>
      <w:r>
        <w:t xml:space="preserve"> Therefore, the test cases should be specified to cover these new requirements. In addition, </w:t>
      </w:r>
      <w:r w:rsidR="00875F95">
        <w:t xml:space="preserve">RLM and link recovery procedure requirements has two sets of requirements, which are based on 12 PRBs and 15 PRBs. </w:t>
      </w:r>
      <w:proofErr w:type="gramStart"/>
      <w:r w:rsidR="00875F95">
        <w:t>In order to</w:t>
      </w:r>
      <w:proofErr w:type="gramEnd"/>
      <w:r w:rsidR="00875F95">
        <w:t xml:space="preserve"> </w:t>
      </w:r>
      <w:r w:rsidR="006E1F63">
        <w:t xml:space="preserve">minimise the number of test cases for RLM and BFD, RAN4 should specify the test cases of non-DRX with 12 PRBs, while test cases with DRX are specified with 15 PRBs. </w:t>
      </w:r>
    </w:p>
    <w:p w14:paraId="34C1FD56" w14:textId="6836F058" w:rsidR="00FF5202" w:rsidRPr="00EF56F2" w:rsidRDefault="006E1F63" w:rsidP="00FF5202">
      <w:pPr>
        <w:pStyle w:val="ListParagraph"/>
        <w:numPr>
          <w:ilvl w:val="0"/>
          <w:numId w:val="5"/>
        </w:numPr>
        <w:spacing w:after="180"/>
        <w:contextualSpacing w:val="0"/>
        <w:jc w:val="both"/>
        <w:rPr>
          <w:rFonts w:ascii="Times New Roman" w:hAnsi="Times New Roman" w:cs="Times New Roman"/>
          <w:sz w:val="20"/>
          <w:szCs w:val="20"/>
        </w:rPr>
      </w:pPr>
      <w:bookmarkStart w:id="4" w:name="_Ref142648441"/>
      <w:r>
        <w:rPr>
          <w:rFonts w:cstheme="minorHAnsi"/>
          <w:b/>
          <w:lang w:eastAsia="ko-KR"/>
        </w:rPr>
        <w:t>For UE with 5 MHz, given that the requirements are the same as the existing NR UE, hence, there is no need to specify additional test cases for 5 MHz UE</w:t>
      </w:r>
      <w:r w:rsidR="00FF5202" w:rsidRPr="002F5A53">
        <w:rPr>
          <w:rFonts w:cstheme="minorHAnsi"/>
          <w:b/>
          <w:lang w:eastAsia="ko-KR"/>
        </w:rPr>
        <w:t>.</w:t>
      </w:r>
      <w:bookmarkEnd w:id="4"/>
    </w:p>
    <w:p w14:paraId="69C7525F" w14:textId="237198E5" w:rsidR="00EF56F2" w:rsidRPr="006E1F63" w:rsidRDefault="00EF56F2" w:rsidP="00FF5202">
      <w:pPr>
        <w:pStyle w:val="ListParagraph"/>
        <w:numPr>
          <w:ilvl w:val="0"/>
          <w:numId w:val="5"/>
        </w:numPr>
        <w:spacing w:after="180"/>
        <w:contextualSpacing w:val="0"/>
        <w:jc w:val="both"/>
        <w:rPr>
          <w:rFonts w:ascii="Times New Roman" w:hAnsi="Times New Roman" w:cs="Times New Roman"/>
          <w:sz w:val="20"/>
          <w:szCs w:val="20"/>
        </w:rPr>
      </w:pPr>
      <w:bookmarkStart w:id="5" w:name="_Ref142648453"/>
      <w:r w:rsidRPr="00F05FA5">
        <w:rPr>
          <w:rFonts w:cstheme="minorHAnsi"/>
          <w:b/>
          <w:lang w:eastAsia="ko-KR"/>
        </w:rPr>
        <w:t xml:space="preserve">RAN4 </w:t>
      </w:r>
      <w:r>
        <w:rPr>
          <w:rFonts w:cstheme="minorHAnsi"/>
          <w:b/>
          <w:lang w:eastAsia="ko-KR"/>
        </w:rPr>
        <w:t>shall</w:t>
      </w:r>
      <w:r w:rsidR="006E1F63">
        <w:rPr>
          <w:rFonts w:cstheme="minorHAnsi"/>
          <w:b/>
          <w:lang w:eastAsia="ko-KR"/>
        </w:rPr>
        <w:t xml:space="preserve"> specify test cases to cover the new requirements of RLM, BFD, link recovery and SSB index reading</w:t>
      </w:r>
      <w:r w:rsidR="00626EA9">
        <w:rPr>
          <w:rFonts w:cstheme="minorHAnsi"/>
          <w:b/>
          <w:lang w:eastAsia="ko-KR"/>
        </w:rPr>
        <w:t xml:space="preserve"> for 3MHz channel BW</w:t>
      </w:r>
      <w:r>
        <w:rPr>
          <w:rFonts w:cstheme="minorHAnsi"/>
          <w:b/>
          <w:lang w:eastAsia="ko-KR"/>
        </w:rPr>
        <w:t>.</w:t>
      </w:r>
      <w:bookmarkEnd w:id="5"/>
    </w:p>
    <w:p w14:paraId="4DCA1E77" w14:textId="65E4D58D" w:rsidR="006E1F63" w:rsidRPr="006E1F63" w:rsidRDefault="006E1F63" w:rsidP="00FF5202">
      <w:pPr>
        <w:pStyle w:val="ListParagraph"/>
        <w:numPr>
          <w:ilvl w:val="0"/>
          <w:numId w:val="5"/>
        </w:numPr>
        <w:spacing w:after="180"/>
        <w:contextualSpacing w:val="0"/>
        <w:jc w:val="both"/>
        <w:rPr>
          <w:rFonts w:cstheme="minorHAnsi"/>
          <w:b/>
          <w:lang w:eastAsia="ko-KR"/>
        </w:rPr>
      </w:pPr>
      <w:bookmarkStart w:id="6" w:name="_Ref146211196"/>
      <w:r w:rsidRPr="006E1F63">
        <w:rPr>
          <w:rFonts w:cstheme="minorHAnsi"/>
          <w:b/>
          <w:lang w:eastAsia="ko-KR"/>
        </w:rPr>
        <w:t>For the RLM/BFD test cases, RAN4 should specify the test cases of non-DRX with 12 PRBs, while test cases with DRX are specified with 15 PRBs.</w:t>
      </w:r>
      <w:bookmarkEnd w:id="6"/>
    </w:p>
    <w:p w14:paraId="0FE0E5F4" w14:textId="30EB0EE1" w:rsidR="00FF5202" w:rsidRDefault="00E72A50" w:rsidP="00311141">
      <w:pPr>
        <w:jc w:val="both"/>
      </w:pPr>
      <w:r>
        <w:t xml:space="preserve">The </w:t>
      </w:r>
      <w:r w:rsidR="002F01D9">
        <w:t>suggested t</w:t>
      </w:r>
      <w:r>
        <w:t xml:space="preserve">est cases for RLM </w:t>
      </w:r>
      <w:r w:rsidR="002F01D9">
        <w:t xml:space="preserve">to be specified </w:t>
      </w:r>
      <w:r>
        <w:t>are provided below:</w:t>
      </w:r>
    </w:p>
    <w:tbl>
      <w:tblPr>
        <w:tblStyle w:val="TableGrid"/>
        <w:tblW w:w="0" w:type="auto"/>
        <w:tblLook w:val="04A0" w:firstRow="1" w:lastRow="0" w:firstColumn="1" w:lastColumn="0" w:noHBand="0" w:noVBand="1"/>
      </w:tblPr>
      <w:tblGrid>
        <w:gridCol w:w="9629"/>
      </w:tblGrid>
      <w:tr w:rsidR="002F01D9" w14:paraId="0DF74D5C" w14:textId="77777777" w:rsidTr="002F01D9">
        <w:tc>
          <w:tcPr>
            <w:tcW w:w="9629" w:type="dxa"/>
          </w:tcPr>
          <w:p w14:paraId="1C33DE99" w14:textId="77777777" w:rsidR="002F01D9" w:rsidRPr="002F01D9" w:rsidRDefault="002F01D9" w:rsidP="00311141">
            <w:pPr>
              <w:jc w:val="both"/>
              <w:rPr>
                <w:b/>
                <w:bCs/>
              </w:rPr>
            </w:pPr>
            <w:r w:rsidRPr="002F01D9">
              <w:rPr>
                <w:b/>
                <w:bCs/>
              </w:rPr>
              <w:t>Radio link Monitoring:</w:t>
            </w:r>
          </w:p>
          <w:p w14:paraId="182C7E13" w14:textId="59377FA8"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non-DRX mode with PDCCH 12 PRBs UE.</w:t>
            </w:r>
          </w:p>
          <w:p w14:paraId="137E506C" w14:textId="415E4986"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non-DRX mode PDCCH 12 PRBs UE.</w:t>
            </w:r>
          </w:p>
          <w:p w14:paraId="00999D53" w14:textId="75651186"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DRX mode with PDCCH 15 PRBs UE.</w:t>
            </w:r>
          </w:p>
          <w:p w14:paraId="71095463" w14:textId="7897DF79"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DRX mode with PDCCH 15 PRBs UE.</w:t>
            </w:r>
          </w:p>
        </w:tc>
      </w:tr>
    </w:tbl>
    <w:p w14:paraId="2076A16F" w14:textId="7E9179AD" w:rsidR="00E72A50" w:rsidRDefault="00E72A50" w:rsidP="00311141">
      <w:pPr>
        <w:jc w:val="both"/>
      </w:pPr>
    </w:p>
    <w:p w14:paraId="2DF5E37A" w14:textId="4D99A970" w:rsidR="002F01D9" w:rsidRDefault="002F01D9" w:rsidP="00311141">
      <w:pPr>
        <w:jc w:val="both"/>
      </w:pPr>
      <w:r>
        <w:t>The suggested test cases for BFD to be specified are provided below:</w:t>
      </w:r>
    </w:p>
    <w:tbl>
      <w:tblPr>
        <w:tblStyle w:val="TableGrid"/>
        <w:tblW w:w="0" w:type="auto"/>
        <w:tblLook w:val="04A0" w:firstRow="1" w:lastRow="0" w:firstColumn="1" w:lastColumn="0" w:noHBand="0" w:noVBand="1"/>
      </w:tblPr>
      <w:tblGrid>
        <w:gridCol w:w="9629"/>
      </w:tblGrid>
      <w:tr w:rsidR="002F01D9" w14:paraId="4B3F82F0" w14:textId="77777777" w:rsidTr="002F01D9">
        <w:tc>
          <w:tcPr>
            <w:tcW w:w="9629" w:type="dxa"/>
          </w:tcPr>
          <w:p w14:paraId="054807D2" w14:textId="5AA4498A" w:rsidR="002F01D9" w:rsidRPr="002F01D9" w:rsidRDefault="002F01D9" w:rsidP="002F01D9">
            <w:pPr>
              <w:spacing w:before="120" w:after="180"/>
              <w:rPr>
                <w:rFonts w:eastAsia="Times New Roman" w:cstheme="minorHAnsi"/>
              </w:rPr>
            </w:pPr>
            <w:r w:rsidRPr="002F01D9">
              <w:rPr>
                <w:rFonts w:eastAsia="Times New Roman" w:cstheme="minorHAnsi"/>
                <w:b/>
                <w:bCs/>
              </w:rPr>
              <w:t>Beam Failure Detection and Link recovery procedures</w:t>
            </w:r>
            <w:r>
              <w:rPr>
                <w:rFonts w:eastAsia="Times New Roman" w:cstheme="minorHAnsi"/>
                <w:b/>
                <w:bCs/>
              </w:rPr>
              <w:t>:</w:t>
            </w:r>
          </w:p>
          <w:p w14:paraId="3760C6A7" w14:textId="531C1D2B" w:rsidR="002F01D9" w:rsidRPr="002F01D9" w:rsidRDefault="002F01D9" w:rsidP="002F01D9">
            <w:pPr>
              <w:pStyle w:val="ListParagraph"/>
              <w:numPr>
                <w:ilvl w:val="0"/>
                <w:numId w:val="33"/>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01483C57" w14:textId="667FE25E" w:rsidR="002F01D9" w:rsidRPr="002F01D9" w:rsidRDefault="002F01D9" w:rsidP="002F01D9">
            <w:pPr>
              <w:pStyle w:val="ListParagraph"/>
              <w:numPr>
                <w:ilvl w:val="0"/>
                <w:numId w:val="33"/>
              </w:numPr>
              <w:spacing w:before="120" w:after="180"/>
              <w:rPr>
                <w:rFonts w:ascii="Arial" w:eastAsia="Times New Roman" w:hAnsi="Arial" w:cs="Arial"/>
                <w:sz w:val="28"/>
                <w:szCs w:val="28"/>
              </w:rPr>
            </w:pPr>
            <w:r w:rsidRPr="002F01D9">
              <w:rPr>
                <w:rFonts w:eastAsia="Times New Roman" w:cstheme="minorHAnsi"/>
              </w:rPr>
              <w:lastRenderedPageBreak/>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tc>
      </w:tr>
    </w:tbl>
    <w:p w14:paraId="1B06195D" w14:textId="01C7394A" w:rsidR="002F01D9" w:rsidRDefault="002F01D9" w:rsidP="00311141">
      <w:pPr>
        <w:jc w:val="both"/>
      </w:pPr>
    </w:p>
    <w:p w14:paraId="474E92D9" w14:textId="73916FAF" w:rsidR="002F01D9" w:rsidRDefault="002F01D9" w:rsidP="00311141">
      <w:pPr>
        <w:jc w:val="both"/>
      </w:pPr>
      <w:r>
        <w:t>The suggested test cases for SSB index reading to be specified are provided below:</w:t>
      </w:r>
    </w:p>
    <w:tbl>
      <w:tblPr>
        <w:tblStyle w:val="TableGrid"/>
        <w:tblW w:w="0" w:type="auto"/>
        <w:tblLook w:val="04A0" w:firstRow="1" w:lastRow="0" w:firstColumn="1" w:lastColumn="0" w:noHBand="0" w:noVBand="1"/>
      </w:tblPr>
      <w:tblGrid>
        <w:gridCol w:w="9629"/>
      </w:tblGrid>
      <w:tr w:rsidR="002F01D9" w14:paraId="669E7B2E" w14:textId="77777777" w:rsidTr="002F01D9">
        <w:tc>
          <w:tcPr>
            <w:tcW w:w="9629" w:type="dxa"/>
          </w:tcPr>
          <w:p w14:paraId="38177A22" w14:textId="59905F5E" w:rsidR="002F01D9" w:rsidRPr="002F01D9" w:rsidRDefault="002F01D9" w:rsidP="002F01D9">
            <w:pPr>
              <w:rPr>
                <w:rFonts w:eastAsia="Times New Roman" w:cstheme="minorHAnsi"/>
              </w:rPr>
            </w:pPr>
            <w:r w:rsidRPr="002F01D9">
              <w:rPr>
                <w:rFonts w:eastAsia="Times New Roman" w:cstheme="minorHAnsi"/>
                <w:b/>
                <w:bCs/>
              </w:rPr>
              <w:t>SSB index reading:</w:t>
            </w:r>
          </w:p>
          <w:p w14:paraId="77B533EE" w14:textId="6B020F7B" w:rsidR="002F01D9" w:rsidRPr="002F01D9" w:rsidRDefault="002F01D9" w:rsidP="002F01D9">
            <w:pPr>
              <w:pStyle w:val="ListParagraph"/>
              <w:numPr>
                <w:ilvl w:val="0"/>
                <w:numId w:val="34"/>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13FCDC5C" w14:textId="6975E5E9" w:rsidR="002F01D9" w:rsidRPr="002F01D9" w:rsidRDefault="002F01D9" w:rsidP="002F01D9">
            <w:pPr>
              <w:pStyle w:val="ListParagraph"/>
              <w:numPr>
                <w:ilvl w:val="0"/>
                <w:numId w:val="34"/>
              </w:numPr>
              <w:spacing w:before="120" w:after="180"/>
              <w:rPr>
                <w:rFonts w:ascii="Arial" w:eastAsia="Times New Roman" w:hAnsi="Arial" w:cs="Arial"/>
                <w:sz w:val="28"/>
                <w:szCs w:val="28"/>
              </w:rPr>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tc>
      </w:tr>
    </w:tbl>
    <w:p w14:paraId="39F26771"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067C9273" w14:textId="23C789C3" w:rsidR="002F01D9" w:rsidRPr="002F01D9" w:rsidRDefault="002F01D9" w:rsidP="002F01D9">
      <w:pPr>
        <w:pStyle w:val="ListParagraph"/>
        <w:numPr>
          <w:ilvl w:val="0"/>
          <w:numId w:val="5"/>
        </w:numPr>
        <w:spacing w:after="180"/>
        <w:contextualSpacing w:val="0"/>
        <w:jc w:val="both"/>
        <w:rPr>
          <w:rFonts w:cstheme="minorHAnsi"/>
          <w:b/>
          <w:lang w:eastAsia="ko-KR"/>
        </w:rPr>
      </w:pPr>
      <w:bookmarkStart w:id="7" w:name="_Ref146211218"/>
      <w:r w:rsidRPr="002F01D9">
        <w:rPr>
          <w:rFonts w:cstheme="minorHAnsi"/>
          <w:b/>
          <w:lang w:eastAsia="ko-KR"/>
        </w:rPr>
        <w:t xml:space="preserve">RAN4 should specify the following test cases for </w:t>
      </w:r>
      <w:r w:rsidRPr="002F01D9">
        <w:rPr>
          <w:b/>
          <w:bCs/>
        </w:rPr>
        <w:t>Radio link Monitoring:</w:t>
      </w:r>
      <w:bookmarkEnd w:id="7"/>
    </w:p>
    <w:p w14:paraId="740B090F"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non-DRX mode with PDCCH 12 PRBs UE.</w:t>
      </w:r>
    </w:p>
    <w:p w14:paraId="666788FF" w14:textId="77777777" w:rsidR="002F01D9" w:rsidRDefault="002F01D9" w:rsidP="002F01D9">
      <w:pPr>
        <w:pStyle w:val="ListParagraph"/>
        <w:numPr>
          <w:ilvl w:val="0"/>
          <w:numId w:val="35"/>
        </w:numPr>
        <w:jc w:val="both"/>
      </w:pPr>
      <w:r>
        <w:t xml:space="preserve">Radio Link Monitoring In-sync Test for FR1 </w:t>
      </w:r>
      <w:proofErr w:type="spellStart"/>
      <w:r>
        <w:t>PCell</w:t>
      </w:r>
      <w:proofErr w:type="spellEnd"/>
      <w:r>
        <w:t xml:space="preserve"> configured with SSB-based RLM RS in non-DRX mode PDCCH 12 PRBs UE.</w:t>
      </w:r>
    </w:p>
    <w:p w14:paraId="2CFF84EA"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DRX mode with PDCCH 15 PRBs UE.</w:t>
      </w:r>
    </w:p>
    <w:p w14:paraId="237733AB" w14:textId="619ADC86" w:rsidR="002F01D9" w:rsidRPr="002F01D9" w:rsidRDefault="002F01D9" w:rsidP="002F01D9">
      <w:pPr>
        <w:pStyle w:val="ListParagraph"/>
        <w:numPr>
          <w:ilvl w:val="0"/>
          <w:numId w:val="35"/>
        </w:numPr>
        <w:spacing w:after="180"/>
        <w:jc w:val="both"/>
        <w:rPr>
          <w:rFonts w:cstheme="minorHAnsi"/>
          <w:b/>
          <w:lang w:eastAsia="ko-KR"/>
        </w:rPr>
      </w:pPr>
      <w:r>
        <w:t xml:space="preserve">Radio Link Monitoring In-sync Test for FR1 </w:t>
      </w:r>
      <w:proofErr w:type="spellStart"/>
      <w:r>
        <w:t>PCell</w:t>
      </w:r>
      <w:proofErr w:type="spellEnd"/>
      <w:r>
        <w:t xml:space="preserve"> configured with SSB-based RLM RS in DRX mode with PDCCH 15 PRBs UE.</w:t>
      </w:r>
    </w:p>
    <w:p w14:paraId="06996EA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47362B5F" w14:textId="672FFAAA" w:rsidR="002F01D9" w:rsidRDefault="002F01D9" w:rsidP="002F01D9">
      <w:pPr>
        <w:pStyle w:val="ListParagraph"/>
        <w:numPr>
          <w:ilvl w:val="0"/>
          <w:numId w:val="5"/>
        </w:numPr>
        <w:spacing w:after="180"/>
        <w:contextualSpacing w:val="0"/>
        <w:jc w:val="both"/>
        <w:rPr>
          <w:rFonts w:cstheme="minorHAnsi"/>
          <w:b/>
          <w:lang w:eastAsia="ko-KR"/>
        </w:rPr>
      </w:pPr>
      <w:bookmarkStart w:id="8" w:name="_Ref146211228"/>
      <w:r w:rsidRPr="002F01D9">
        <w:rPr>
          <w:rFonts w:cstheme="minorHAnsi"/>
          <w:b/>
          <w:lang w:eastAsia="ko-KR"/>
        </w:rPr>
        <w:t xml:space="preserve">RAN4 should specify the following test cases for </w:t>
      </w:r>
      <w:r>
        <w:rPr>
          <w:b/>
          <w:bCs/>
        </w:rPr>
        <w:t>BFD and link recovery:</w:t>
      </w:r>
      <w:bookmarkEnd w:id="8"/>
    </w:p>
    <w:p w14:paraId="37026854" w14:textId="77777777" w:rsidR="002F01D9" w:rsidRPr="002F01D9" w:rsidRDefault="002F01D9" w:rsidP="002F01D9">
      <w:pPr>
        <w:pStyle w:val="ListParagraph"/>
        <w:numPr>
          <w:ilvl w:val="0"/>
          <w:numId w:val="36"/>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2EA63956" w14:textId="2A2AA556" w:rsidR="002F01D9" w:rsidRPr="002F01D9" w:rsidRDefault="002F01D9" w:rsidP="002F01D9">
      <w:pPr>
        <w:pStyle w:val="ListParagraph"/>
        <w:numPr>
          <w:ilvl w:val="0"/>
          <w:numId w:val="36"/>
        </w:numPr>
        <w:jc w:val="both"/>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p w14:paraId="2AB3E1C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51E8E51C" w14:textId="13465B8E" w:rsidR="002F01D9" w:rsidRDefault="002F01D9" w:rsidP="002F01D9">
      <w:pPr>
        <w:pStyle w:val="ListParagraph"/>
        <w:numPr>
          <w:ilvl w:val="0"/>
          <w:numId w:val="5"/>
        </w:numPr>
        <w:spacing w:after="180"/>
        <w:contextualSpacing w:val="0"/>
        <w:jc w:val="both"/>
        <w:rPr>
          <w:rFonts w:cstheme="minorHAnsi"/>
          <w:b/>
          <w:lang w:eastAsia="ko-KR"/>
        </w:rPr>
      </w:pPr>
      <w:bookmarkStart w:id="9" w:name="_Ref146211240"/>
      <w:r w:rsidRPr="002F01D9">
        <w:rPr>
          <w:rFonts w:cstheme="minorHAnsi"/>
          <w:b/>
          <w:lang w:eastAsia="ko-KR"/>
        </w:rPr>
        <w:t xml:space="preserve">RAN4 should specify the following test cases for </w:t>
      </w:r>
      <w:r>
        <w:rPr>
          <w:b/>
          <w:bCs/>
        </w:rPr>
        <w:t>SSB index reading:</w:t>
      </w:r>
      <w:bookmarkEnd w:id="9"/>
    </w:p>
    <w:p w14:paraId="16E99670" w14:textId="77777777" w:rsidR="002F01D9" w:rsidRPr="002F01D9" w:rsidRDefault="002F01D9" w:rsidP="002F01D9">
      <w:pPr>
        <w:pStyle w:val="ListParagraph"/>
        <w:numPr>
          <w:ilvl w:val="0"/>
          <w:numId w:val="37"/>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4115AE9B" w14:textId="1A3D1225" w:rsidR="002F01D9" w:rsidRDefault="002F01D9" w:rsidP="002F01D9">
      <w:pPr>
        <w:pStyle w:val="ListParagraph"/>
        <w:numPr>
          <w:ilvl w:val="0"/>
          <w:numId w:val="37"/>
        </w:numPr>
        <w:jc w:val="both"/>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0" w:name="_Ref92572437"/>
    </w:p>
    <w:p w14:paraId="001B9589" w14:textId="3FBCECFF"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867051">
        <w:rPr>
          <w:b/>
          <w:bCs/>
        </w:rPr>
        <w:t>Proposal 1:</w:t>
      </w:r>
      <w:r>
        <w:rPr>
          <w:b/>
          <w:bCs/>
        </w:rPr>
        <w:fldChar w:fldCharType="end"/>
      </w:r>
      <w:r>
        <w:rPr>
          <w:b/>
          <w:bCs/>
        </w:rPr>
        <w:fldChar w:fldCharType="begin"/>
      </w:r>
      <w:r>
        <w:rPr>
          <w:b/>
          <w:bCs/>
        </w:rPr>
        <w:instrText xml:space="preserve"> REF _Ref142648441 \h </w:instrText>
      </w:r>
      <w:r>
        <w:rPr>
          <w:b/>
          <w:bCs/>
        </w:rPr>
      </w:r>
      <w:r>
        <w:rPr>
          <w:b/>
          <w:bCs/>
        </w:rPr>
        <w:fldChar w:fldCharType="separate"/>
      </w:r>
      <w:r w:rsidR="00867051">
        <w:rPr>
          <w:rFonts w:cstheme="minorHAnsi"/>
          <w:b/>
          <w:lang w:eastAsia="ko-KR"/>
        </w:rPr>
        <w:t>For UE with 5 MHz, given that the requirements are the same as the existing NR UE, hence, there is no need to specify additional test cases for 5 MHz UE</w:t>
      </w:r>
      <w:r w:rsidR="00867051" w:rsidRPr="002F5A53">
        <w:rPr>
          <w:rFonts w:cstheme="minorHAnsi"/>
          <w:b/>
          <w:lang w:eastAsia="ko-KR"/>
        </w:rPr>
        <w:t>.</w:t>
      </w:r>
      <w:r>
        <w:rPr>
          <w:b/>
          <w:bCs/>
        </w:rPr>
        <w:fldChar w:fldCharType="end"/>
      </w:r>
    </w:p>
    <w:p w14:paraId="4A535ADF" w14:textId="2537EC35"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867051">
        <w:rPr>
          <w:b/>
          <w:bCs/>
        </w:rPr>
        <w:t>Proposal 2:</w:t>
      </w:r>
      <w:r>
        <w:rPr>
          <w:b/>
          <w:bCs/>
        </w:rPr>
        <w:fldChar w:fldCharType="end"/>
      </w:r>
      <w:r>
        <w:rPr>
          <w:b/>
          <w:bCs/>
        </w:rPr>
        <w:fldChar w:fldCharType="begin"/>
      </w:r>
      <w:r>
        <w:rPr>
          <w:b/>
          <w:bCs/>
        </w:rPr>
        <w:instrText xml:space="preserve"> REF _Ref142648453 \h </w:instrText>
      </w:r>
      <w:r>
        <w:rPr>
          <w:b/>
          <w:bCs/>
        </w:rPr>
      </w:r>
      <w:r>
        <w:rPr>
          <w:b/>
          <w:bCs/>
        </w:rPr>
        <w:fldChar w:fldCharType="separate"/>
      </w:r>
      <w:r w:rsidR="00867051" w:rsidRPr="00F05FA5">
        <w:rPr>
          <w:rFonts w:cstheme="minorHAnsi"/>
          <w:b/>
          <w:lang w:eastAsia="ko-KR"/>
        </w:rPr>
        <w:t xml:space="preserve">RAN4 </w:t>
      </w:r>
      <w:r w:rsidR="00867051">
        <w:rPr>
          <w:rFonts w:cstheme="minorHAnsi"/>
          <w:b/>
          <w:lang w:eastAsia="ko-KR"/>
        </w:rPr>
        <w:t>shall specify test cases to cover the new requirements of RLM, BFD, link recovery and SSB index reading for 3MHz channel BW.</w:t>
      </w:r>
      <w:r>
        <w:rPr>
          <w:b/>
          <w:bCs/>
        </w:rPr>
        <w:fldChar w:fldCharType="end"/>
      </w:r>
    </w:p>
    <w:p w14:paraId="3A5AF3FB" w14:textId="18D50194" w:rsidR="002A60A6" w:rsidRDefault="002A60A6" w:rsidP="00D636E8">
      <w:pPr>
        <w:jc w:val="both"/>
        <w:rPr>
          <w:b/>
          <w:bCs/>
        </w:rPr>
      </w:pPr>
      <w:r>
        <w:rPr>
          <w:b/>
          <w:bCs/>
        </w:rPr>
        <w:lastRenderedPageBreak/>
        <w:fldChar w:fldCharType="begin"/>
      </w:r>
      <w:r>
        <w:rPr>
          <w:b/>
          <w:bCs/>
        </w:rPr>
        <w:instrText xml:space="preserve"> REF _Ref146211196 \r \h </w:instrText>
      </w:r>
      <w:r>
        <w:rPr>
          <w:b/>
          <w:bCs/>
        </w:rPr>
      </w:r>
      <w:r>
        <w:rPr>
          <w:b/>
          <w:bCs/>
        </w:rPr>
        <w:fldChar w:fldCharType="separate"/>
      </w:r>
      <w:r w:rsidR="00867051">
        <w:rPr>
          <w:b/>
          <w:bCs/>
        </w:rPr>
        <w:t>Proposal 3:</w:t>
      </w:r>
      <w:r>
        <w:rPr>
          <w:b/>
          <w:bCs/>
        </w:rPr>
        <w:fldChar w:fldCharType="end"/>
      </w:r>
      <w:r>
        <w:rPr>
          <w:b/>
          <w:bCs/>
        </w:rPr>
        <w:t xml:space="preserve"> </w:t>
      </w:r>
      <w:r>
        <w:rPr>
          <w:b/>
          <w:bCs/>
        </w:rPr>
        <w:fldChar w:fldCharType="begin"/>
      </w:r>
      <w:r>
        <w:rPr>
          <w:b/>
          <w:bCs/>
        </w:rPr>
        <w:instrText xml:space="preserve"> REF _Ref146211196 \h </w:instrText>
      </w:r>
      <w:r>
        <w:rPr>
          <w:b/>
          <w:bCs/>
        </w:rPr>
      </w:r>
      <w:r>
        <w:rPr>
          <w:b/>
          <w:bCs/>
        </w:rPr>
        <w:fldChar w:fldCharType="separate"/>
      </w:r>
      <w:r w:rsidR="00867051" w:rsidRPr="006E1F63">
        <w:rPr>
          <w:rFonts w:cstheme="minorHAnsi"/>
          <w:b/>
          <w:lang w:eastAsia="ko-KR"/>
        </w:rPr>
        <w:t>For the RLM/BFD test cases, RAN4 should specify the test cases of non-DRX with 12 PRBs, while test cases with DRX are specified with 15 PRBs.</w:t>
      </w:r>
      <w:r>
        <w:rPr>
          <w:b/>
          <w:bCs/>
        </w:rPr>
        <w:fldChar w:fldCharType="end"/>
      </w:r>
    </w:p>
    <w:p w14:paraId="139BD0E5" w14:textId="6608BF65" w:rsidR="002A60A6" w:rsidRDefault="002A60A6" w:rsidP="00D636E8">
      <w:pPr>
        <w:jc w:val="both"/>
        <w:rPr>
          <w:b/>
          <w:bCs/>
        </w:rPr>
      </w:pPr>
      <w:r>
        <w:rPr>
          <w:b/>
          <w:bCs/>
        </w:rPr>
        <w:fldChar w:fldCharType="begin"/>
      </w:r>
      <w:r>
        <w:rPr>
          <w:b/>
          <w:bCs/>
        </w:rPr>
        <w:instrText xml:space="preserve"> REF _Ref146211218 \r \h </w:instrText>
      </w:r>
      <w:r>
        <w:rPr>
          <w:b/>
          <w:bCs/>
        </w:rPr>
      </w:r>
      <w:r>
        <w:rPr>
          <w:b/>
          <w:bCs/>
        </w:rPr>
        <w:fldChar w:fldCharType="separate"/>
      </w:r>
      <w:r w:rsidR="00867051">
        <w:rPr>
          <w:b/>
          <w:bCs/>
        </w:rPr>
        <w:t>Proposal 4:</w:t>
      </w:r>
      <w:r>
        <w:rPr>
          <w:b/>
          <w:bCs/>
        </w:rPr>
        <w:fldChar w:fldCharType="end"/>
      </w:r>
      <w:r>
        <w:rPr>
          <w:b/>
          <w:bCs/>
        </w:rPr>
        <w:t xml:space="preserve"> </w:t>
      </w:r>
      <w:r>
        <w:rPr>
          <w:b/>
          <w:bCs/>
        </w:rPr>
        <w:fldChar w:fldCharType="begin"/>
      </w:r>
      <w:r>
        <w:rPr>
          <w:b/>
          <w:bCs/>
        </w:rPr>
        <w:instrText xml:space="preserve"> REF _Ref146211218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sidRPr="002F01D9">
        <w:rPr>
          <w:b/>
          <w:bCs/>
        </w:rPr>
        <w:t>Radio link Monitoring:</w:t>
      </w:r>
      <w:r>
        <w:rPr>
          <w:b/>
          <w:bCs/>
        </w:rPr>
        <w:fldChar w:fldCharType="end"/>
      </w:r>
    </w:p>
    <w:tbl>
      <w:tblPr>
        <w:tblStyle w:val="TableGrid"/>
        <w:tblW w:w="0" w:type="auto"/>
        <w:tblLook w:val="04A0" w:firstRow="1" w:lastRow="0" w:firstColumn="1" w:lastColumn="0" w:noHBand="0" w:noVBand="1"/>
      </w:tblPr>
      <w:tblGrid>
        <w:gridCol w:w="9629"/>
      </w:tblGrid>
      <w:tr w:rsidR="002A60A6" w14:paraId="5B9CD438" w14:textId="77777777" w:rsidTr="002A60A6">
        <w:tc>
          <w:tcPr>
            <w:tcW w:w="9629" w:type="dxa"/>
          </w:tcPr>
          <w:p w14:paraId="317D3E63" w14:textId="77777777" w:rsidR="002A60A6" w:rsidRPr="002A60A6" w:rsidRDefault="002A60A6" w:rsidP="002A60A6">
            <w:pPr>
              <w:pStyle w:val="ListParagraph"/>
              <w:numPr>
                <w:ilvl w:val="0"/>
                <w:numId w:val="35"/>
              </w:numPr>
              <w:jc w:val="both"/>
              <w:rPr>
                <w:b/>
                <w:bCs/>
              </w:rPr>
            </w:pPr>
            <w:r w:rsidRPr="002A60A6">
              <w:rPr>
                <w:b/>
                <w:bCs/>
              </w:rPr>
              <w:t xml:space="preserve">Radio Link Monitoring Out-of-sync Test for FR1 </w:t>
            </w:r>
            <w:proofErr w:type="spellStart"/>
            <w:r w:rsidRPr="002A60A6">
              <w:rPr>
                <w:b/>
                <w:bCs/>
              </w:rPr>
              <w:t>PCell</w:t>
            </w:r>
            <w:proofErr w:type="spellEnd"/>
            <w:r w:rsidRPr="002A60A6">
              <w:rPr>
                <w:b/>
                <w:bCs/>
              </w:rPr>
              <w:t xml:space="preserve"> configured with SSB-based RLM RS in non-DRX mode with PDCCH 12 PRBs UE.</w:t>
            </w:r>
          </w:p>
          <w:p w14:paraId="2CCF2000" w14:textId="77777777" w:rsidR="002A60A6" w:rsidRPr="002A60A6" w:rsidRDefault="002A60A6" w:rsidP="002A60A6">
            <w:pPr>
              <w:pStyle w:val="ListParagraph"/>
              <w:numPr>
                <w:ilvl w:val="0"/>
                <w:numId w:val="35"/>
              </w:numPr>
              <w:jc w:val="both"/>
              <w:rPr>
                <w:b/>
                <w:bCs/>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non-DRX mode PDCCH 12 PRBs UE.</w:t>
            </w:r>
          </w:p>
          <w:p w14:paraId="210B7725" w14:textId="77777777" w:rsidR="002A60A6" w:rsidRPr="002A60A6" w:rsidRDefault="002A60A6" w:rsidP="002A60A6">
            <w:pPr>
              <w:pStyle w:val="ListParagraph"/>
              <w:numPr>
                <w:ilvl w:val="0"/>
                <w:numId w:val="35"/>
              </w:numPr>
              <w:jc w:val="both"/>
              <w:rPr>
                <w:b/>
                <w:bCs/>
              </w:rPr>
            </w:pPr>
            <w:r w:rsidRPr="002A60A6">
              <w:rPr>
                <w:b/>
                <w:bCs/>
              </w:rPr>
              <w:t xml:space="preserve">Radio Link Monitoring Out-of-sync Test for FR1 </w:t>
            </w:r>
            <w:proofErr w:type="spellStart"/>
            <w:r w:rsidRPr="002A60A6">
              <w:rPr>
                <w:b/>
                <w:bCs/>
              </w:rPr>
              <w:t>PCell</w:t>
            </w:r>
            <w:proofErr w:type="spellEnd"/>
            <w:r w:rsidRPr="002A60A6">
              <w:rPr>
                <w:b/>
                <w:bCs/>
              </w:rPr>
              <w:t xml:space="preserve"> configured with SSB-based RLM RS in DRX mode with PDCCH 15 PRBs UE.</w:t>
            </w:r>
          </w:p>
          <w:p w14:paraId="0BCD3CA9" w14:textId="10FAA490" w:rsidR="002A60A6" w:rsidRPr="002A60A6" w:rsidRDefault="002A60A6" w:rsidP="00D636E8">
            <w:pPr>
              <w:pStyle w:val="ListParagraph"/>
              <w:numPr>
                <w:ilvl w:val="0"/>
                <w:numId w:val="35"/>
              </w:numPr>
              <w:spacing w:after="180"/>
              <w:jc w:val="both"/>
              <w:rPr>
                <w:rFonts w:cstheme="minorHAnsi"/>
                <w:b/>
                <w:lang w:eastAsia="ko-KR"/>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DRX mode with PDCCH 15 PRBs UE.</w:t>
            </w:r>
          </w:p>
        </w:tc>
      </w:tr>
    </w:tbl>
    <w:p w14:paraId="336488A4" w14:textId="77777777" w:rsidR="002A60A6" w:rsidRDefault="002A60A6" w:rsidP="00D636E8">
      <w:pPr>
        <w:jc w:val="both"/>
        <w:rPr>
          <w:b/>
          <w:bCs/>
        </w:rPr>
      </w:pPr>
    </w:p>
    <w:p w14:paraId="4814FC70" w14:textId="6C3A6228" w:rsidR="002A60A6" w:rsidRDefault="002A60A6" w:rsidP="00D636E8">
      <w:pPr>
        <w:jc w:val="both"/>
        <w:rPr>
          <w:b/>
          <w:bCs/>
        </w:rPr>
      </w:pPr>
      <w:r>
        <w:rPr>
          <w:b/>
          <w:bCs/>
        </w:rPr>
        <w:fldChar w:fldCharType="begin"/>
      </w:r>
      <w:r>
        <w:rPr>
          <w:b/>
          <w:bCs/>
        </w:rPr>
        <w:instrText xml:space="preserve"> REF _Ref146211228 \r \h </w:instrText>
      </w:r>
      <w:r>
        <w:rPr>
          <w:b/>
          <w:bCs/>
        </w:rPr>
      </w:r>
      <w:r>
        <w:rPr>
          <w:b/>
          <w:bCs/>
        </w:rPr>
        <w:fldChar w:fldCharType="separate"/>
      </w:r>
      <w:r w:rsidR="00867051">
        <w:rPr>
          <w:b/>
          <w:bCs/>
        </w:rPr>
        <w:t>Proposal 5:</w:t>
      </w:r>
      <w:r>
        <w:rPr>
          <w:b/>
          <w:bCs/>
        </w:rPr>
        <w:fldChar w:fldCharType="end"/>
      </w:r>
      <w:r>
        <w:rPr>
          <w:b/>
          <w:bCs/>
        </w:rPr>
        <w:t xml:space="preserve"> </w:t>
      </w:r>
      <w:r>
        <w:rPr>
          <w:b/>
          <w:bCs/>
        </w:rPr>
        <w:fldChar w:fldCharType="begin"/>
      </w:r>
      <w:r>
        <w:rPr>
          <w:b/>
          <w:bCs/>
        </w:rPr>
        <w:instrText xml:space="preserve"> REF _Ref146211228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Pr>
          <w:b/>
          <w:bCs/>
        </w:rPr>
        <w:t>BFD and link recovery:</w:t>
      </w:r>
      <w:r>
        <w:rPr>
          <w:b/>
          <w:bCs/>
        </w:rPr>
        <w:fldChar w:fldCharType="end"/>
      </w:r>
    </w:p>
    <w:tbl>
      <w:tblPr>
        <w:tblStyle w:val="TableGrid"/>
        <w:tblW w:w="0" w:type="auto"/>
        <w:tblLook w:val="04A0" w:firstRow="1" w:lastRow="0" w:firstColumn="1" w:lastColumn="0" w:noHBand="0" w:noVBand="1"/>
      </w:tblPr>
      <w:tblGrid>
        <w:gridCol w:w="9629"/>
      </w:tblGrid>
      <w:tr w:rsidR="002A60A6" w14:paraId="7D42E1B3" w14:textId="77777777" w:rsidTr="002A60A6">
        <w:tc>
          <w:tcPr>
            <w:tcW w:w="9629" w:type="dxa"/>
          </w:tcPr>
          <w:p w14:paraId="755EF62C" w14:textId="77777777" w:rsidR="002A60A6" w:rsidRPr="002A60A6" w:rsidRDefault="002A60A6" w:rsidP="002A60A6">
            <w:pPr>
              <w:pStyle w:val="ListParagraph"/>
              <w:numPr>
                <w:ilvl w:val="0"/>
                <w:numId w:val="36"/>
              </w:numPr>
              <w:spacing w:before="120" w:after="180"/>
              <w:rPr>
                <w:rFonts w:eastAsia="Times New Roman" w:cstheme="minorHAnsi"/>
                <w:b/>
                <w:bCs/>
              </w:rPr>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non-DRX mode with PDCCH 12 PRBs UE.</w:t>
            </w:r>
          </w:p>
          <w:p w14:paraId="045CF580" w14:textId="66477887" w:rsidR="002A60A6" w:rsidRPr="002A60A6" w:rsidRDefault="002A60A6" w:rsidP="00D636E8">
            <w:pPr>
              <w:pStyle w:val="ListParagraph"/>
              <w:numPr>
                <w:ilvl w:val="0"/>
                <w:numId w:val="36"/>
              </w:numPr>
              <w:jc w:val="both"/>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DRX mode with PDCCH 15 PRBs UE.</w:t>
            </w:r>
          </w:p>
        </w:tc>
      </w:tr>
    </w:tbl>
    <w:p w14:paraId="430ED8DE" w14:textId="77777777" w:rsidR="002A60A6" w:rsidRDefault="002A60A6" w:rsidP="00D636E8">
      <w:pPr>
        <w:jc w:val="both"/>
        <w:rPr>
          <w:b/>
          <w:bCs/>
        </w:rPr>
      </w:pPr>
    </w:p>
    <w:p w14:paraId="74E886AD" w14:textId="342E680D" w:rsidR="002A60A6" w:rsidRDefault="002A60A6" w:rsidP="00D636E8">
      <w:pPr>
        <w:jc w:val="both"/>
        <w:rPr>
          <w:b/>
          <w:bCs/>
        </w:rPr>
      </w:pPr>
      <w:r>
        <w:rPr>
          <w:b/>
          <w:bCs/>
        </w:rPr>
        <w:fldChar w:fldCharType="begin"/>
      </w:r>
      <w:r>
        <w:rPr>
          <w:b/>
          <w:bCs/>
        </w:rPr>
        <w:instrText xml:space="preserve"> REF _Ref146211240 \r \h </w:instrText>
      </w:r>
      <w:r>
        <w:rPr>
          <w:b/>
          <w:bCs/>
        </w:rPr>
      </w:r>
      <w:r>
        <w:rPr>
          <w:b/>
          <w:bCs/>
        </w:rPr>
        <w:fldChar w:fldCharType="separate"/>
      </w:r>
      <w:r w:rsidR="00867051">
        <w:rPr>
          <w:b/>
          <w:bCs/>
        </w:rPr>
        <w:t>Proposal 6:</w:t>
      </w:r>
      <w:r>
        <w:rPr>
          <w:b/>
          <w:bCs/>
        </w:rPr>
        <w:fldChar w:fldCharType="end"/>
      </w:r>
      <w:r>
        <w:rPr>
          <w:b/>
          <w:bCs/>
        </w:rPr>
        <w:t xml:space="preserve"> </w:t>
      </w:r>
      <w:r>
        <w:rPr>
          <w:b/>
          <w:bCs/>
        </w:rPr>
        <w:fldChar w:fldCharType="begin"/>
      </w:r>
      <w:r>
        <w:rPr>
          <w:b/>
          <w:bCs/>
        </w:rPr>
        <w:instrText xml:space="preserve"> REF _Ref146211240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Pr>
          <w:b/>
          <w:bCs/>
        </w:rPr>
        <w:t>SSB index reading:</w:t>
      </w:r>
      <w:r>
        <w:rPr>
          <w:b/>
          <w:bCs/>
        </w:rPr>
        <w:fldChar w:fldCharType="end"/>
      </w:r>
    </w:p>
    <w:tbl>
      <w:tblPr>
        <w:tblStyle w:val="TableGrid"/>
        <w:tblW w:w="0" w:type="auto"/>
        <w:tblLook w:val="04A0" w:firstRow="1" w:lastRow="0" w:firstColumn="1" w:lastColumn="0" w:noHBand="0" w:noVBand="1"/>
      </w:tblPr>
      <w:tblGrid>
        <w:gridCol w:w="9629"/>
      </w:tblGrid>
      <w:tr w:rsidR="002A60A6" w14:paraId="53DCADA0" w14:textId="77777777" w:rsidTr="002A60A6">
        <w:tc>
          <w:tcPr>
            <w:tcW w:w="9629" w:type="dxa"/>
          </w:tcPr>
          <w:p w14:paraId="0DC8DA2E" w14:textId="77777777" w:rsidR="002A60A6" w:rsidRPr="002A60A6" w:rsidRDefault="002A60A6" w:rsidP="002A60A6">
            <w:pPr>
              <w:pStyle w:val="ListParagraph"/>
              <w:numPr>
                <w:ilvl w:val="0"/>
                <w:numId w:val="37"/>
              </w:numPr>
              <w:spacing w:before="120" w:after="180"/>
              <w:rPr>
                <w:rFonts w:eastAsia="Times New Roman" w:cstheme="minorHAnsi"/>
                <w:b/>
                <w:bCs/>
              </w:rPr>
            </w:pPr>
            <w:r w:rsidRPr="002A60A6">
              <w:rPr>
                <w:rFonts w:eastAsia="Times New Roman" w:cstheme="minorHAnsi"/>
                <w:b/>
                <w:bCs/>
              </w:rPr>
              <w:t>SA event triggered reporting tests without gap under non-DRX with SSB index reading for 12 PRBs of PBCH UE.</w:t>
            </w:r>
          </w:p>
          <w:p w14:paraId="71548E1C" w14:textId="77C5F9F8" w:rsidR="002A60A6" w:rsidRPr="002A60A6" w:rsidRDefault="002A60A6" w:rsidP="00D636E8">
            <w:pPr>
              <w:pStyle w:val="ListParagraph"/>
              <w:numPr>
                <w:ilvl w:val="0"/>
                <w:numId w:val="37"/>
              </w:numPr>
              <w:jc w:val="both"/>
            </w:pPr>
            <w:r w:rsidRPr="002A60A6">
              <w:rPr>
                <w:rFonts w:eastAsia="Times New Roman" w:cstheme="minorHAnsi"/>
                <w:b/>
                <w:bCs/>
              </w:rPr>
              <w:t>SA event triggered reporting tests with per-UE gaps under non-DRX with SSB index reading for 12 PRBs PBCH UE.</w:t>
            </w:r>
          </w:p>
        </w:tc>
      </w:tr>
    </w:tbl>
    <w:p w14:paraId="14F8C7AA" w14:textId="77777777" w:rsidR="002A60A6" w:rsidRDefault="002A60A6" w:rsidP="00D636E8">
      <w:pPr>
        <w:jc w:val="both"/>
        <w:rPr>
          <w:b/>
          <w:bCs/>
        </w:rPr>
      </w:pP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233662EE" w:rsidR="00E32789" w:rsidRPr="00AE13B5" w:rsidRDefault="0012574C" w:rsidP="006445E2">
      <w:pPr>
        <w:pStyle w:val="ListParagraph"/>
        <w:numPr>
          <w:ilvl w:val="0"/>
          <w:numId w:val="4"/>
        </w:numPr>
        <w:jc w:val="both"/>
        <w:rPr>
          <w:rFonts w:cstheme="minorHAnsi"/>
          <w:color w:val="000000"/>
        </w:rPr>
      </w:pPr>
      <w:bookmarkStart w:id="11" w:name="_Ref115358872"/>
      <w:r w:rsidRPr="00AE13B5">
        <w:rPr>
          <w:rFonts w:cstheme="minorHAnsi"/>
          <w:color w:val="000000"/>
        </w:rPr>
        <w:t>R</w:t>
      </w:r>
      <w:r w:rsidR="006445E2" w:rsidRPr="00AE13B5">
        <w:rPr>
          <w:rFonts w:cstheme="minorHAnsi"/>
          <w:color w:val="000000"/>
        </w:rPr>
        <w:t>4</w:t>
      </w:r>
      <w:r w:rsidRPr="00AE13B5">
        <w:rPr>
          <w:rFonts w:cstheme="minorHAnsi"/>
          <w:color w:val="000000"/>
        </w:rPr>
        <w:t>-</w:t>
      </w:r>
      <w:r w:rsidR="006445E2" w:rsidRPr="00AE13B5">
        <w:rPr>
          <w:rFonts w:cstheme="minorHAnsi"/>
          <w:color w:val="000000"/>
        </w:rPr>
        <w:t>2300197</w:t>
      </w:r>
      <w:r w:rsidRPr="00AE13B5">
        <w:rPr>
          <w:rFonts w:cstheme="minorHAnsi"/>
          <w:color w:val="000000"/>
        </w:rPr>
        <w:t>, “</w:t>
      </w:r>
      <w:r w:rsidR="006445E2" w:rsidRPr="00AE13B5">
        <w:rPr>
          <w:rFonts w:cstheme="minorHAnsi"/>
          <w:color w:val="000000"/>
        </w:rPr>
        <w:t>Work plan for NR support for dedicated spectrum less than 5MHz for FR1</w:t>
      </w:r>
      <w:r w:rsidRPr="00AE13B5">
        <w:rPr>
          <w:rFonts w:cstheme="minorHAnsi"/>
          <w:color w:val="000000"/>
        </w:rPr>
        <w:t xml:space="preserve">”, </w:t>
      </w:r>
      <w:r w:rsidR="00241F1F" w:rsidRPr="00AE13B5">
        <w:rPr>
          <w:rFonts w:cstheme="minorHAnsi"/>
          <w:color w:val="000000"/>
        </w:rPr>
        <w:t>Nokia</w:t>
      </w:r>
      <w:r w:rsidR="005E1298" w:rsidRPr="00AE13B5">
        <w:rPr>
          <w:rFonts w:cstheme="minorHAnsi"/>
          <w:color w:val="000000"/>
        </w:rPr>
        <w:t>,</w:t>
      </w:r>
      <w:r w:rsidR="006445E2" w:rsidRPr="00AE13B5">
        <w:rPr>
          <w:rFonts w:cstheme="minorHAnsi"/>
          <w:color w:val="000000"/>
        </w:rPr>
        <w:t xml:space="preserve"> Athens, Greece,</w:t>
      </w:r>
      <w:r w:rsidR="005E1298" w:rsidRPr="00AE13B5">
        <w:rPr>
          <w:rFonts w:cstheme="minorHAnsi"/>
          <w:color w:val="000000"/>
        </w:rPr>
        <w:t xml:space="preserve"> </w:t>
      </w:r>
      <w:r w:rsidR="006445E2" w:rsidRPr="00AE13B5">
        <w:rPr>
          <w:rFonts w:cstheme="minorHAnsi"/>
          <w:color w:val="000000"/>
        </w:rPr>
        <w:t>Feb</w:t>
      </w:r>
      <w:r w:rsidR="005E1298" w:rsidRPr="00AE13B5">
        <w:rPr>
          <w:rFonts w:cstheme="minorHAnsi"/>
          <w:color w:val="000000"/>
        </w:rPr>
        <w:t xml:space="preserve"> 202</w:t>
      </w:r>
      <w:r w:rsidR="006445E2" w:rsidRPr="00AE13B5">
        <w:rPr>
          <w:rFonts w:cstheme="minorHAnsi"/>
          <w:color w:val="000000"/>
        </w:rPr>
        <w:t>2</w:t>
      </w:r>
      <w:r w:rsidRPr="00AE13B5">
        <w:rPr>
          <w:rFonts w:cstheme="minorHAnsi"/>
          <w:color w:val="000000"/>
        </w:rPr>
        <w:t>.</w:t>
      </w:r>
      <w:bookmarkEnd w:id="11"/>
    </w:p>
    <w:sectPr w:rsidR="00E32789" w:rsidRPr="00AE13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98DA" w14:textId="77777777" w:rsidR="006A43B4" w:rsidRDefault="006A43B4">
      <w:r>
        <w:separator/>
      </w:r>
    </w:p>
  </w:endnote>
  <w:endnote w:type="continuationSeparator" w:id="0">
    <w:p w14:paraId="631CFE6A" w14:textId="77777777" w:rsidR="006A43B4" w:rsidRDefault="006A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34F5" w14:textId="77777777" w:rsidR="006A43B4" w:rsidRDefault="006A43B4">
      <w:r>
        <w:separator/>
      </w:r>
    </w:p>
  </w:footnote>
  <w:footnote w:type="continuationSeparator" w:id="0">
    <w:p w14:paraId="14380558" w14:textId="77777777" w:rsidR="006A43B4" w:rsidRDefault="006A4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0"/>
  </w:num>
  <w:num w:numId="2" w16cid:durableId="1529491711">
    <w:abstractNumId w:val="13"/>
  </w:num>
  <w:num w:numId="3" w16cid:durableId="1836336963">
    <w:abstractNumId w:val="17"/>
  </w:num>
  <w:num w:numId="4" w16cid:durableId="1064065014">
    <w:abstractNumId w:val="28"/>
  </w:num>
  <w:num w:numId="5" w16cid:durableId="1874295937">
    <w:abstractNumId w:val="5"/>
  </w:num>
  <w:num w:numId="6" w16cid:durableId="1660575323">
    <w:abstractNumId w:val="14"/>
  </w:num>
  <w:num w:numId="7" w16cid:durableId="405811123">
    <w:abstractNumId w:val="10"/>
  </w:num>
  <w:num w:numId="8" w16cid:durableId="1690639146">
    <w:abstractNumId w:val="32"/>
  </w:num>
  <w:num w:numId="9" w16cid:durableId="2036926316">
    <w:abstractNumId w:val="23"/>
  </w:num>
  <w:num w:numId="10" w16cid:durableId="1655257079">
    <w:abstractNumId w:val="7"/>
  </w:num>
  <w:num w:numId="11" w16cid:durableId="433675722">
    <w:abstractNumId w:val="34"/>
  </w:num>
  <w:num w:numId="12" w16cid:durableId="151144584">
    <w:abstractNumId w:val="6"/>
  </w:num>
  <w:num w:numId="13" w16cid:durableId="135800174">
    <w:abstractNumId w:val="21"/>
  </w:num>
  <w:num w:numId="14" w16cid:durableId="635070428">
    <w:abstractNumId w:val="31"/>
  </w:num>
  <w:num w:numId="15" w16cid:durableId="1955406088">
    <w:abstractNumId w:val="2"/>
  </w:num>
  <w:num w:numId="16" w16cid:durableId="1267033831">
    <w:abstractNumId w:val="33"/>
  </w:num>
  <w:num w:numId="17" w16cid:durableId="404649148">
    <w:abstractNumId w:val="22"/>
  </w:num>
  <w:num w:numId="18" w16cid:durableId="1877306462">
    <w:abstractNumId w:val="19"/>
  </w:num>
  <w:num w:numId="19" w16cid:durableId="799686261">
    <w:abstractNumId w:val="3"/>
  </w:num>
  <w:num w:numId="20" w16cid:durableId="1574390225">
    <w:abstractNumId w:val="27"/>
  </w:num>
  <w:num w:numId="21" w16cid:durableId="1179275057">
    <w:abstractNumId w:val="26"/>
  </w:num>
  <w:num w:numId="22" w16cid:durableId="252903913">
    <w:abstractNumId w:val="16"/>
  </w:num>
  <w:num w:numId="23" w16cid:durableId="1664118192">
    <w:abstractNumId w:val="36"/>
  </w:num>
  <w:num w:numId="24" w16cid:durableId="4947153">
    <w:abstractNumId w:val="18"/>
  </w:num>
  <w:num w:numId="25" w16cid:durableId="1114596299">
    <w:abstractNumId w:val="8"/>
  </w:num>
  <w:num w:numId="26" w16cid:durableId="1841920556">
    <w:abstractNumId w:val="25"/>
  </w:num>
  <w:num w:numId="27" w16cid:durableId="1458600368">
    <w:abstractNumId w:val="11"/>
  </w:num>
  <w:num w:numId="28" w16cid:durableId="1363214572">
    <w:abstractNumId w:val="1"/>
  </w:num>
  <w:num w:numId="29" w16cid:durableId="1890722209">
    <w:abstractNumId w:val="35"/>
  </w:num>
  <w:num w:numId="30" w16cid:durableId="558246859">
    <w:abstractNumId w:val="9"/>
  </w:num>
  <w:num w:numId="31" w16cid:durableId="1039740088">
    <w:abstractNumId w:val="12"/>
  </w:num>
  <w:num w:numId="32" w16cid:durableId="1630622414">
    <w:abstractNumId w:val="29"/>
  </w:num>
  <w:num w:numId="33" w16cid:durableId="1593322538">
    <w:abstractNumId w:val="4"/>
  </w:num>
  <w:num w:numId="34" w16cid:durableId="799614077">
    <w:abstractNumId w:val="0"/>
  </w:num>
  <w:num w:numId="35" w16cid:durableId="1100027143">
    <w:abstractNumId w:val="24"/>
  </w:num>
  <w:num w:numId="36" w16cid:durableId="103353265">
    <w:abstractNumId w:val="15"/>
  </w:num>
  <w:num w:numId="37" w16cid:durableId="208961919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084"/>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37"/>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250"/>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6EA9"/>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3B4"/>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051"/>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52B"/>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2B"/>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A60"/>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558"/>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A0"/>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25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872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725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2023-09-27T18:43:00Z</dcterms:created>
  <dcterms:modified xsi:type="dcterms:W3CDTF">2023-09-27T18:43:00Z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